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958" w:rsidRDefault="00083958" w:rsidP="00083958">
      <w:pPr>
        <w:jc w:val="center"/>
        <w:rPr>
          <w:b/>
          <w:sz w:val="32"/>
          <w:szCs w:val="32"/>
          <w:u w:val="single"/>
        </w:rPr>
      </w:pPr>
      <w:r w:rsidRPr="00773489">
        <w:rPr>
          <w:b/>
          <w:sz w:val="32"/>
          <w:szCs w:val="32"/>
          <w:u w:val="single"/>
        </w:rPr>
        <w:t>Zpráva o hospodaření za rok 20</w:t>
      </w:r>
      <w:r>
        <w:rPr>
          <w:b/>
          <w:sz w:val="32"/>
          <w:szCs w:val="32"/>
          <w:u w:val="single"/>
        </w:rPr>
        <w:t>16</w:t>
      </w:r>
    </w:p>
    <w:p w:rsidR="00083958" w:rsidRDefault="00083958" w:rsidP="00083958">
      <w:pPr>
        <w:jc w:val="center"/>
        <w:rPr>
          <w:sz w:val="28"/>
          <w:szCs w:val="28"/>
        </w:rPr>
      </w:pPr>
      <w:r w:rsidRPr="00773489">
        <w:rPr>
          <w:sz w:val="28"/>
          <w:szCs w:val="28"/>
        </w:rPr>
        <w:t>(v Kč)</w:t>
      </w:r>
    </w:p>
    <w:p w:rsidR="00083958" w:rsidRDefault="00083958" w:rsidP="00083958">
      <w:pPr>
        <w:jc w:val="center"/>
        <w:rPr>
          <w:sz w:val="28"/>
          <w:szCs w:val="28"/>
        </w:rPr>
      </w:pPr>
    </w:p>
    <w:p w:rsidR="00083958" w:rsidRDefault="00083958" w:rsidP="00083958">
      <w:pPr>
        <w:jc w:val="center"/>
        <w:rPr>
          <w:sz w:val="28"/>
          <w:szCs w:val="28"/>
        </w:rPr>
      </w:pP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160"/>
        <w:gridCol w:w="1980"/>
        <w:gridCol w:w="1440"/>
      </w:tblGrid>
      <w:tr w:rsidR="00083958" w:rsidRPr="00507C1B" w:rsidTr="00DF524C">
        <w:trPr>
          <w:trHeight w:hRule="exact" w:val="567"/>
          <w:jc w:val="center"/>
        </w:trPr>
        <w:tc>
          <w:tcPr>
            <w:tcW w:w="8460" w:type="dxa"/>
            <w:gridSpan w:val="4"/>
            <w:shd w:val="clear" w:color="auto" w:fill="auto"/>
            <w:vAlign w:val="center"/>
          </w:tcPr>
          <w:p w:rsidR="00083958" w:rsidRPr="004302FB" w:rsidRDefault="00083958" w:rsidP="00DF524C">
            <w:pPr>
              <w:jc w:val="center"/>
              <w:rPr>
                <w:b/>
                <w:sz w:val="28"/>
                <w:szCs w:val="28"/>
              </w:rPr>
            </w:pPr>
            <w:r w:rsidRPr="004302FB">
              <w:rPr>
                <w:b/>
                <w:sz w:val="28"/>
                <w:szCs w:val="28"/>
              </w:rPr>
              <w:t>Osvětová beseda</w:t>
            </w: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BFBFBF"/>
            <w:vAlign w:val="center"/>
          </w:tcPr>
          <w:p w:rsidR="00083958" w:rsidRPr="00507C1B" w:rsidRDefault="00083958" w:rsidP="00DF524C">
            <w:pPr>
              <w:jc w:val="center"/>
              <w:rPr>
                <w:b/>
              </w:rPr>
            </w:pPr>
            <w:r w:rsidRPr="00507C1B">
              <w:rPr>
                <w:b/>
              </w:rPr>
              <w:t>Náklady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83958" w:rsidRPr="00507C1B" w:rsidRDefault="00083958" w:rsidP="00DF524C">
            <w:pPr>
              <w:jc w:val="center"/>
              <w:rPr>
                <w:b/>
              </w:rPr>
            </w:pPr>
            <w:r w:rsidRPr="00507C1B">
              <w:rPr>
                <w:b/>
              </w:rPr>
              <w:t>Rozpočet</w:t>
            </w:r>
          </w:p>
        </w:tc>
        <w:tc>
          <w:tcPr>
            <w:tcW w:w="1980" w:type="dxa"/>
            <w:shd w:val="clear" w:color="auto" w:fill="BFBFBF"/>
            <w:vAlign w:val="center"/>
          </w:tcPr>
          <w:p w:rsidR="00083958" w:rsidRPr="00507C1B" w:rsidRDefault="00083958" w:rsidP="00DF524C">
            <w:pPr>
              <w:jc w:val="center"/>
              <w:rPr>
                <w:b/>
              </w:rPr>
            </w:pPr>
            <w:r w:rsidRPr="00507C1B">
              <w:rPr>
                <w:b/>
              </w:rPr>
              <w:t>Čerpání</w:t>
            </w:r>
          </w:p>
        </w:tc>
        <w:tc>
          <w:tcPr>
            <w:tcW w:w="1440" w:type="dxa"/>
            <w:shd w:val="clear" w:color="auto" w:fill="BFBFBF"/>
            <w:vAlign w:val="center"/>
          </w:tcPr>
          <w:p w:rsidR="00083958" w:rsidRPr="00507C1B" w:rsidRDefault="00083958" w:rsidP="00DF524C">
            <w:pPr>
              <w:jc w:val="center"/>
              <w:rPr>
                <w:b/>
              </w:rPr>
            </w:pPr>
            <w:r w:rsidRPr="00507C1B">
              <w:rPr>
                <w:b/>
              </w:rPr>
              <w:t>Zůstatek příspěvku</w:t>
            </w: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7248C4" w:rsidRDefault="00083958" w:rsidP="00DF524C">
            <w:pPr>
              <w:jc w:val="center"/>
            </w:pPr>
            <w:r w:rsidRPr="007248C4">
              <w:t>Mzdy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7248C4" w:rsidRDefault="00083958" w:rsidP="00DF524C">
            <w:pPr>
              <w:jc w:val="right"/>
            </w:pPr>
            <w:r>
              <w:t>170.000,00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7248C4" w:rsidRDefault="00083958" w:rsidP="00DF524C">
            <w:pPr>
              <w:jc w:val="right"/>
            </w:pPr>
            <w:r>
              <w:t>163 577,00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7248C4" w:rsidRDefault="00083958" w:rsidP="00DF524C">
            <w:pPr>
              <w:jc w:val="center"/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7248C4" w:rsidRDefault="00083958" w:rsidP="00DF524C">
            <w:pPr>
              <w:ind w:left="72"/>
              <w:jc w:val="center"/>
            </w:pPr>
            <w:r w:rsidRPr="007248C4">
              <w:t>Kulturní zajištění akcí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180 000,00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184 207,00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7248C4" w:rsidRDefault="00083958" w:rsidP="00DF524C">
            <w:pPr>
              <w:ind w:left="72"/>
              <w:jc w:val="center"/>
            </w:pPr>
            <w:r w:rsidRPr="007248C4">
              <w:t>Spotřeba materiálu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100 000,00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114 611,71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7248C4" w:rsidRDefault="00083958" w:rsidP="00DF524C">
            <w:pPr>
              <w:ind w:left="72"/>
              <w:jc w:val="center"/>
            </w:pPr>
            <w:r w:rsidRPr="007248C4">
              <w:t>Ostatní služby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550 000,00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531 179,00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CF4065" w:rsidRDefault="00083958" w:rsidP="00DF524C">
            <w:pPr>
              <w:ind w:left="72"/>
              <w:jc w:val="center"/>
            </w:pPr>
            <w:r w:rsidRPr="00CF4065">
              <w:t>Odpisy, rezervy a opravné položky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CF4065" w:rsidRDefault="00083958" w:rsidP="00DF524C">
            <w:pPr>
              <w:jc w:val="right"/>
            </w:pPr>
            <w:r>
              <w:t>16 000,00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CF4065" w:rsidRDefault="00083958" w:rsidP="00DF524C">
            <w:pPr>
              <w:jc w:val="right"/>
            </w:pPr>
            <w:r>
              <w:t>16 623,00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CF4065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076EAC" w:rsidRDefault="00083958" w:rsidP="00DF524C">
            <w:pPr>
              <w:ind w:left="72"/>
              <w:jc w:val="center"/>
            </w:pPr>
            <w:r w:rsidRPr="00076EAC">
              <w:t>Ostatní náklady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076EAC" w:rsidRDefault="00083958" w:rsidP="00DF524C">
            <w:pPr>
              <w:jc w:val="right"/>
            </w:pPr>
            <w:r>
              <w:t>300.000,00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076EAC" w:rsidRDefault="00083958" w:rsidP="00DF524C">
            <w:pPr>
              <w:jc w:val="right"/>
            </w:pPr>
            <w:r>
              <w:t xml:space="preserve">292 </w:t>
            </w:r>
            <w:r w:rsidRPr="00076EAC">
              <w:t>811,00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507C1B" w:rsidRDefault="00083958" w:rsidP="00DF524C">
            <w:pPr>
              <w:ind w:left="72"/>
              <w:jc w:val="center"/>
              <w:rPr>
                <w:b/>
              </w:rPr>
            </w:pPr>
            <w:r w:rsidRPr="00507C1B">
              <w:rPr>
                <w:b/>
              </w:rPr>
              <w:t>Náklady celkem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right"/>
              <w:rPr>
                <w:b/>
              </w:rPr>
            </w:pPr>
            <w:r>
              <w:rPr>
                <w:b/>
              </w:rPr>
              <w:t>1 316 000,00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right"/>
              <w:rPr>
                <w:b/>
              </w:rPr>
            </w:pPr>
            <w:r>
              <w:rPr>
                <w:b/>
              </w:rPr>
              <w:t>1 303 008,71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BFBFBF"/>
            <w:vAlign w:val="center"/>
          </w:tcPr>
          <w:p w:rsidR="00083958" w:rsidRPr="00507C1B" w:rsidRDefault="00083958" w:rsidP="00DF524C">
            <w:pPr>
              <w:ind w:left="72"/>
              <w:jc w:val="center"/>
              <w:rPr>
                <w:b/>
              </w:rPr>
            </w:pPr>
            <w:r w:rsidRPr="00507C1B">
              <w:rPr>
                <w:b/>
              </w:rPr>
              <w:t>Výnosy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83958" w:rsidRPr="006A67B7" w:rsidRDefault="00083958" w:rsidP="00DF524C">
            <w:pPr>
              <w:jc w:val="center"/>
            </w:pPr>
          </w:p>
        </w:tc>
        <w:tc>
          <w:tcPr>
            <w:tcW w:w="1980" w:type="dxa"/>
            <w:shd w:val="clear" w:color="auto" w:fill="BFBFBF"/>
            <w:vAlign w:val="center"/>
          </w:tcPr>
          <w:p w:rsidR="00083958" w:rsidRPr="006A67B7" w:rsidRDefault="00083958" w:rsidP="00DF524C">
            <w:pPr>
              <w:jc w:val="center"/>
            </w:pPr>
          </w:p>
        </w:tc>
        <w:tc>
          <w:tcPr>
            <w:tcW w:w="1440" w:type="dxa"/>
            <w:shd w:val="clear" w:color="auto" w:fill="BFBFBF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Default="00083958" w:rsidP="00DF524C">
            <w:pPr>
              <w:ind w:left="72"/>
              <w:jc w:val="center"/>
            </w:pPr>
            <w:r>
              <w:t>Tržba z prodeje služeb (vstupné)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350 000,00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357 228,00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Default="00083958" w:rsidP="00DF524C">
            <w:pPr>
              <w:ind w:left="72"/>
              <w:jc w:val="center"/>
            </w:pPr>
            <w:r>
              <w:t>Tržba z prodeje služeb (tombola)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Default="00083958" w:rsidP="00DF524C">
            <w:pPr>
              <w:jc w:val="right"/>
            </w:pPr>
            <w:r>
              <w:t>70 000,00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Default="00083958" w:rsidP="00DF524C">
            <w:pPr>
              <w:jc w:val="right"/>
            </w:pPr>
            <w:r>
              <w:t>64 760,00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Default="00083958" w:rsidP="00DF524C">
            <w:pPr>
              <w:ind w:left="72"/>
              <w:jc w:val="center"/>
            </w:pPr>
            <w:r>
              <w:t>Tržba z pronájmu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80 000,00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71 950,00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Default="00083958" w:rsidP="00DF524C">
            <w:pPr>
              <w:ind w:left="72"/>
              <w:jc w:val="center"/>
            </w:pPr>
            <w:r>
              <w:t>Příspěvek od Obce Ratíškovice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500 000,00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6A67B7" w:rsidRDefault="00083958" w:rsidP="00DF524C">
            <w:pPr>
              <w:jc w:val="right"/>
            </w:pPr>
            <w:r>
              <w:t>472 735,00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Default="00083958" w:rsidP="00DF524C">
            <w:pPr>
              <w:ind w:left="72"/>
              <w:jc w:val="center"/>
            </w:pPr>
            <w:r w:rsidRPr="00507C1B">
              <w:t xml:space="preserve">Dotace </w:t>
            </w:r>
            <w:r>
              <w:t>JMK, MK– 47. FDH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Default="00083958" w:rsidP="00DF524C">
            <w:pPr>
              <w:jc w:val="right"/>
            </w:pPr>
            <w:r>
              <w:t>116 000,00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Default="00083958" w:rsidP="00DF524C">
            <w:pPr>
              <w:jc w:val="right"/>
            </w:pPr>
            <w:r>
              <w:t>116 000,00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ED2993" w:rsidRDefault="00083958" w:rsidP="00DF524C">
            <w:pPr>
              <w:jc w:val="center"/>
            </w:pPr>
            <w:r>
              <w:t>Ostatní výnosy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Default="00083958" w:rsidP="00DF524C">
            <w:pPr>
              <w:jc w:val="right"/>
            </w:pPr>
            <w:r>
              <w:t>80 000,00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Default="00083958" w:rsidP="00DF524C">
            <w:pPr>
              <w:jc w:val="right"/>
            </w:pPr>
            <w:r>
              <w:t>83 562,44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507C1B" w:rsidRDefault="00083958" w:rsidP="00DF524C">
            <w:pPr>
              <w:ind w:left="72"/>
              <w:jc w:val="center"/>
              <w:rPr>
                <w:b/>
              </w:rPr>
            </w:pPr>
            <w:r w:rsidRPr="00507C1B">
              <w:rPr>
                <w:b/>
              </w:rPr>
              <w:t>Výnosy celkem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right"/>
              <w:rPr>
                <w:b/>
              </w:rPr>
            </w:pPr>
            <w:r>
              <w:rPr>
                <w:b/>
              </w:rPr>
              <w:t>1 196 000,00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right"/>
              <w:rPr>
                <w:b/>
              </w:rPr>
            </w:pPr>
            <w:r>
              <w:rPr>
                <w:b/>
              </w:rPr>
              <w:t>1 166 235,44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  <w:tr w:rsidR="00083958" w:rsidRPr="00507C1B" w:rsidTr="00DF524C">
        <w:trPr>
          <w:trHeight w:hRule="exact"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:rsidR="00083958" w:rsidRPr="00507C1B" w:rsidRDefault="00083958" w:rsidP="00DF524C">
            <w:pPr>
              <w:ind w:left="72"/>
              <w:jc w:val="center"/>
              <w:rPr>
                <w:b/>
              </w:rPr>
            </w:pPr>
            <w:r w:rsidRPr="00507C1B">
              <w:rPr>
                <w:b/>
              </w:rPr>
              <w:t xml:space="preserve">Výsledek hospodaření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083958" w:rsidRPr="00E25166" w:rsidRDefault="00083958" w:rsidP="00DF524C">
            <w:pPr>
              <w:jc w:val="right"/>
              <w:rPr>
                <w:b/>
              </w:rPr>
            </w:pPr>
            <w:r>
              <w:rPr>
                <w:b/>
              </w:rPr>
              <w:t>-136 773,27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83958" w:rsidRPr="00507C1B" w:rsidRDefault="00083958" w:rsidP="00DF524C">
            <w:pPr>
              <w:jc w:val="center"/>
              <w:rPr>
                <w:sz w:val="28"/>
                <w:szCs w:val="28"/>
              </w:rPr>
            </w:pPr>
          </w:p>
        </w:tc>
      </w:tr>
    </w:tbl>
    <w:p w:rsidR="00083958" w:rsidRPr="00773489" w:rsidRDefault="00083958" w:rsidP="00083958">
      <w:pPr>
        <w:jc w:val="center"/>
        <w:rPr>
          <w:sz w:val="28"/>
          <w:szCs w:val="28"/>
        </w:rPr>
      </w:pPr>
    </w:p>
    <w:p w:rsidR="00083958" w:rsidRDefault="00083958" w:rsidP="00083958">
      <w:pPr>
        <w:rPr>
          <w:b/>
          <w:sz w:val="28"/>
          <w:szCs w:val="28"/>
          <w:u w:val="single"/>
        </w:rPr>
      </w:pPr>
    </w:p>
    <w:p w:rsidR="00083958" w:rsidRDefault="00083958" w:rsidP="00083958">
      <w:pPr>
        <w:rPr>
          <w:b/>
          <w:sz w:val="28"/>
          <w:szCs w:val="28"/>
          <w:u w:val="single"/>
        </w:rPr>
      </w:pPr>
    </w:p>
    <w:p w:rsidR="00083958" w:rsidRPr="006A67B7" w:rsidRDefault="00083958" w:rsidP="00083958">
      <w:r w:rsidRPr="006A67B7">
        <w:t xml:space="preserve">Vyhotovila: </w:t>
      </w:r>
      <w:r>
        <w:t>Ing. Hana Klimešová</w:t>
      </w:r>
    </w:p>
    <w:p w:rsidR="00083958" w:rsidRDefault="00083958" w:rsidP="00083958">
      <w:r w:rsidRPr="006A67B7">
        <w:t xml:space="preserve">Dne: </w:t>
      </w:r>
      <w:r>
        <w:t>10</w:t>
      </w:r>
      <w:r w:rsidRPr="006A67B7">
        <w:t>.</w:t>
      </w:r>
      <w:r>
        <w:t xml:space="preserve"> 02</w:t>
      </w:r>
      <w:r w:rsidRPr="006A67B7">
        <w:t>.</w:t>
      </w:r>
      <w:r>
        <w:t xml:space="preserve"> </w:t>
      </w:r>
      <w:r w:rsidRPr="006A67B7">
        <w:t>20</w:t>
      </w:r>
      <w:r>
        <w:t>17</w:t>
      </w:r>
    </w:p>
    <w:p w:rsidR="00083958" w:rsidRDefault="00083958" w:rsidP="00083958"/>
    <w:p w:rsidR="00E34024" w:rsidRDefault="00083958"/>
    <w:p w:rsidR="00083958" w:rsidRDefault="00083958"/>
    <w:p w:rsidR="00083958" w:rsidRDefault="00083958"/>
    <w:p w:rsidR="00083958" w:rsidRPr="0004027E" w:rsidRDefault="00083958" w:rsidP="00083958">
      <w:pPr>
        <w:rPr>
          <w:b/>
          <w:u w:val="single"/>
        </w:rPr>
      </w:pPr>
      <w:r w:rsidRPr="0004027E">
        <w:rPr>
          <w:b/>
          <w:u w:val="single"/>
        </w:rPr>
        <w:t>KOMENTÁŘ:</w:t>
      </w:r>
    </w:p>
    <w:p w:rsidR="00083958" w:rsidRDefault="00083958" w:rsidP="00083958"/>
    <w:p w:rsidR="00083958" w:rsidRDefault="00083958" w:rsidP="00083958">
      <w:r>
        <w:t xml:space="preserve">V roce 2016 obdržela Osvětová beseda Ratíškovice na svou činnost dotaci ve výši 500.000 Kč z rozpočtu obce Ratíškovice, 66.000 Kč z Jihomoravského kraje a 50.000 Kč z Ministerstva kultury. Z provozní dotace od obce bylo použito dle rozhodnutí Rady č. 61 ze dne 3.10.2016 27.265,00 Kč na dofinancování stanu pořízeného v roce 2015 – jako zvýšení základního kapitálu, který se bude každoročně rozpouštět do fondu oprav. Dotace z JMK a MK byly použity na Festival Dechových Hudeb. Velkou část výnosů tvořily tržby ze vstupného na kulturní akce pořádané Osvětovou besedou ( FDH, hody, plesy a jiné akce)  a tržby z podnájmu tělocvičny. </w:t>
      </w:r>
    </w:p>
    <w:p w:rsidR="00083958" w:rsidRDefault="00083958" w:rsidP="00083958"/>
    <w:p w:rsidR="00083958" w:rsidRDefault="00083958" w:rsidP="00083958">
      <w:r>
        <w:t>Největší položku nákladů tvoří Ostatní služby, které zahrnují dopravu, náklady na vedení účetnictví, výplaty dohod o jednorázové výpomoci, nájemné atd. Dále jsou tvořeny mzdovými náklady (mzdy pro Sbor pro občanské záležitosti, mzdy vedoucích souborů, mzda ředitelky OB atd.) a náklady na kulturní zajištění akcí (odměny za vystoupení na kulturních akcích OB)</w:t>
      </w:r>
    </w:p>
    <w:p w:rsidR="00083958" w:rsidRDefault="00083958" w:rsidP="00083958"/>
    <w:p w:rsidR="00083958" w:rsidRDefault="00083958" w:rsidP="00083958">
      <w:r>
        <w:t xml:space="preserve">V roce 2016 došlo dle rozhodnutí Rady  č. 61 ze dne 3.10.2016 k čerpání zůstatku fondu darů, který do 1.1.2016 činil 92.000 Kč. Rozhodlo se, že 46 500 Kč bude použito na rozvoj mládežnické a dětské hudby, 20 000 Kč na Zpívání pod Náklem, 5 000 Kč na Festival dechových hudeb a 20 500 Kč na dofinancování koncertu skupiny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Tap</w:t>
      </w:r>
      <w:proofErr w:type="spellEnd"/>
      <w:r>
        <w:t xml:space="preserve"> </w:t>
      </w:r>
      <w:proofErr w:type="spellStart"/>
      <w:r>
        <w:t>Tap</w:t>
      </w:r>
      <w:proofErr w:type="spellEnd"/>
      <w:r>
        <w:t xml:space="preserve">. </w:t>
      </w:r>
    </w:p>
    <w:p w:rsidR="00083958" w:rsidRDefault="00083958" w:rsidP="00083958"/>
    <w:p w:rsidR="00083958" w:rsidRDefault="00083958" w:rsidP="00083958">
      <w:r>
        <w:t xml:space="preserve">Osvětová beseda zřizuje několik souborů, které jsou v účetnictví vedené jako střediska – CM Náklo, CM Malena, Dětský folklorní soubor ,JR Band, Veselá Muzika Ratíškovice, Mužský sbor, Robky ze </w:t>
      </w:r>
      <w:proofErr w:type="spellStart"/>
      <w:r>
        <w:t>Séčky</w:t>
      </w:r>
      <w:proofErr w:type="spellEnd"/>
      <w:r>
        <w:t xml:space="preserve">, Ženušky. </w:t>
      </w:r>
    </w:p>
    <w:p w:rsidR="00083958" w:rsidRDefault="00083958" w:rsidP="00083958">
      <w:r>
        <w:t xml:space="preserve">Dále pak jsou jako střediska sledovány akce pořádané Osvětovou besedou. V roce 2016 se jednalo o akci Cimbály na ulici, Den Matek, Vánoční dílničky, Divadelní hra Len tak přišli, Festival dechových hudeb, hody, Jazz, </w:t>
      </w:r>
      <w:proofErr w:type="spellStart"/>
      <w:r>
        <w:t>Koncet</w:t>
      </w:r>
      <w:proofErr w:type="spellEnd"/>
      <w:r>
        <w:t xml:space="preserve"> </w:t>
      </w:r>
      <w:proofErr w:type="spellStart"/>
      <w:r>
        <w:t>Carmia</w:t>
      </w:r>
      <w:proofErr w:type="spellEnd"/>
      <w:r>
        <w:t xml:space="preserve"> </w:t>
      </w:r>
      <w:proofErr w:type="spellStart"/>
      <w:r>
        <w:t>Vocum</w:t>
      </w:r>
      <w:proofErr w:type="spellEnd"/>
      <w:r>
        <w:t xml:space="preserve">, </w:t>
      </w:r>
      <w:proofErr w:type="spellStart"/>
      <w:r>
        <w:t>Koncet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Tap</w:t>
      </w:r>
      <w:proofErr w:type="spellEnd"/>
      <w:r>
        <w:t xml:space="preserve"> </w:t>
      </w:r>
      <w:proofErr w:type="spellStart"/>
      <w:r>
        <w:t>Tap</w:t>
      </w:r>
      <w:proofErr w:type="spellEnd"/>
      <w:r>
        <w:t xml:space="preserve">, </w:t>
      </w:r>
      <w:proofErr w:type="spellStart"/>
      <w:r>
        <w:t>Koncet</w:t>
      </w:r>
      <w:proofErr w:type="spellEnd"/>
      <w:r>
        <w:t xml:space="preserve"> Klavírního tria pražského HAMU, Ostatní </w:t>
      </w:r>
      <w:proofErr w:type="spellStart"/>
      <w:r>
        <w:t>koncety</w:t>
      </w:r>
      <w:proofErr w:type="spellEnd"/>
      <w:r>
        <w:t xml:space="preserve"> a akce, </w:t>
      </w:r>
      <w:proofErr w:type="spellStart"/>
      <w:r>
        <w:t>Modní</w:t>
      </w:r>
      <w:proofErr w:type="spellEnd"/>
      <w:r>
        <w:t xml:space="preserve"> přehlídka, Otevření Spolkového domu, Plesy, Koncert </w:t>
      </w:r>
      <w:proofErr w:type="spellStart"/>
      <w:r>
        <w:t>Stříbrňanky</w:t>
      </w:r>
      <w:proofErr w:type="spellEnd"/>
      <w:r>
        <w:t xml:space="preserve">, Svěcení mladých vín, Vernisáž Františka Hanáčka a Zpívání pod Náklem. </w:t>
      </w:r>
    </w:p>
    <w:p w:rsidR="00083958" w:rsidRDefault="00083958" w:rsidP="00083958"/>
    <w:p w:rsidR="00083958" w:rsidRDefault="00083958" w:rsidP="00083958">
      <w:r>
        <w:t xml:space="preserve">Samostatně je pak vedena Česko-francouzská společnost a </w:t>
      </w:r>
      <w:proofErr w:type="spellStart"/>
      <w:r>
        <w:t>Seniorklub</w:t>
      </w:r>
      <w:proofErr w:type="spellEnd"/>
      <w:r>
        <w:t xml:space="preserve"> a Sbor pro občanské záležitosti. </w:t>
      </w:r>
    </w:p>
    <w:p w:rsidR="00083958" w:rsidRDefault="00083958" w:rsidP="00083958"/>
    <w:p w:rsidR="00083958" w:rsidRDefault="00083958" w:rsidP="00083958">
      <w:r>
        <w:t>Hospodaření za rok 2016 skončilo hospodářským výsledkem – ztrátou ve výši 136 773,27 Kč.</w:t>
      </w:r>
    </w:p>
    <w:p w:rsidR="00083958" w:rsidRPr="00E949A3" w:rsidRDefault="00083958" w:rsidP="00083958">
      <w:pPr>
        <w:rPr>
          <w:i/>
        </w:rPr>
      </w:pPr>
      <w:r w:rsidRPr="00E949A3">
        <w:rPr>
          <w:i/>
        </w:rPr>
        <w:t>Tato ztráta je zejména způsobena tím, že v roce 2016 se dělala oprava účtu 112 – Materiál na skladě, kde byl veden drobný majetek. Tento účet byl snížen o částku 113.037,00 Kč, která byla proúčtována na příslušný nákladový účet.</w:t>
      </w:r>
    </w:p>
    <w:p w:rsidR="00083958" w:rsidRDefault="00083958" w:rsidP="00083958"/>
    <w:p w:rsidR="00083958" w:rsidRDefault="00083958" w:rsidP="00083958">
      <w:r>
        <w:t>Zřizovateli byla zaslána žádost o schválení roční účetní závěrky.</w:t>
      </w:r>
    </w:p>
    <w:p w:rsidR="00083958" w:rsidRDefault="00083958">
      <w:bookmarkStart w:id="0" w:name="_GoBack"/>
      <w:bookmarkEnd w:id="0"/>
    </w:p>
    <w:sectPr w:rsidR="00083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58"/>
    <w:rsid w:val="00083958"/>
    <w:rsid w:val="001B5B56"/>
    <w:rsid w:val="00D8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D44E"/>
  <w15:chartTrackingRefBased/>
  <w15:docId w15:val="{6EB02D4F-24DB-4D0E-BA79-5EF6C9F3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083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Tiomáš Hanák</dc:creator>
  <cp:keywords/>
  <dc:description/>
  <cp:lastModifiedBy>Tiomáš Hanák</cp:lastModifiedBy>
  <cp:revision>1</cp:revision>
  <dcterms:created xsi:type="dcterms:W3CDTF">2017-02-23T12:51:00Z</dcterms:created>
  <dcterms:modified xsi:type="dcterms:W3CDTF">2017-02-23T12:52:00Z</dcterms:modified>
</cp:coreProperties>
</file>